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290FF" w14:textId="77777777" w:rsidR="001D218C" w:rsidRPr="00746AA4" w:rsidRDefault="001D218C" w:rsidP="001D218C">
      <w:p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 </w:t>
      </w:r>
      <w:r w:rsidRPr="00746AA4">
        <w:rPr>
          <w:rFonts w:ascii="Calibri" w:hAnsi="Calibri" w:cs="Calibri"/>
          <w:b/>
          <w:bCs/>
          <w:sz w:val="22"/>
          <w:szCs w:val="22"/>
        </w:rPr>
        <w:t xml:space="preserve">Insuflátor s ohřevem a aktivním odsáváním kouře </w:t>
      </w:r>
    </w:p>
    <w:p w14:paraId="00417BC1" w14:textId="152734FF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Hadice pro připojení láhve s plynem (DIN), </w:t>
      </w:r>
    </w:p>
    <w:p w14:paraId="6B354AEA" w14:textId="75F800F6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Možnost připojení na centrální rozvod CO2 </w:t>
      </w:r>
    </w:p>
    <w:p w14:paraId="7687EEDD" w14:textId="31B1BAEE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Insuflační médium CO2 </w:t>
      </w:r>
    </w:p>
    <w:p w14:paraId="57E38640" w14:textId="0E39678E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Rychlost plnění min. 45 l/min </w:t>
      </w:r>
    </w:p>
    <w:p w14:paraId="4EA229BA" w14:textId="12ECE2A2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 xml:space="preserve">Aktivní odsávání kouře – pomocí integrovaného motoru nezávislé na elektrochirurgické jednotce, filtrace kouře přes HEPA filtr pro bezpečí personálu musí být součástí originální hadice pro odsávání kouře schválené výrobcem. </w:t>
      </w:r>
    </w:p>
    <w:p w14:paraId="510E711A" w14:textId="1B198854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>Zadavatel alternativně připouští desuflační režim, který je integritní součástí insuflátoru.</w:t>
      </w:r>
    </w:p>
    <w:p w14:paraId="3E27B4AA" w14:textId="62C750EF" w:rsidR="001D218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>Integrované vyhřívání plynu před vstupem do pacienta.</w:t>
      </w:r>
    </w:p>
    <w:p w14:paraId="26F1AD17" w14:textId="3D8FBE94" w:rsidR="007C1BFC" w:rsidRPr="00746AA4" w:rsidRDefault="001D218C" w:rsidP="001D218C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46AA4">
        <w:rPr>
          <w:rFonts w:ascii="Calibri" w:hAnsi="Calibri" w:cs="Calibri"/>
          <w:sz w:val="22"/>
          <w:szCs w:val="22"/>
        </w:rPr>
        <w:t>Ovládání pomocí dotykového, barevného displeje, automatické přizpůsobení podsvícení displeje osvětlení na sále (zařízení neruší operatéra) případně ovládání pomocí externího dotykového monitoru (součástí dodávky).</w:t>
      </w:r>
    </w:p>
    <w:sectPr w:rsidR="007C1BFC" w:rsidRPr="00746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04D35"/>
    <w:multiLevelType w:val="hybridMultilevel"/>
    <w:tmpl w:val="55DE77D4"/>
    <w:lvl w:ilvl="0" w:tplc="4E243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E3957"/>
    <w:multiLevelType w:val="hybridMultilevel"/>
    <w:tmpl w:val="267EFCF2"/>
    <w:lvl w:ilvl="0" w:tplc="67605318">
      <w:start w:val="3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06102">
    <w:abstractNumId w:val="0"/>
  </w:num>
  <w:num w:numId="2" w16cid:durableId="219875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18C"/>
    <w:rsid w:val="001D218C"/>
    <w:rsid w:val="00746AA4"/>
    <w:rsid w:val="007C1BFC"/>
    <w:rsid w:val="00AF689A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BA5B"/>
  <w15:chartTrackingRefBased/>
  <w15:docId w15:val="{8A232AF3-045C-4CE9-9720-321EF6C5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2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D2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D2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D2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D2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D2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2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2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D2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D2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D2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D2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D218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D218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D218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D218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D218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D218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D2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D2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D2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D2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D2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D218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D218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D218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D2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D218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D2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664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2</cp:revision>
  <dcterms:created xsi:type="dcterms:W3CDTF">2025-07-18T11:27:00Z</dcterms:created>
  <dcterms:modified xsi:type="dcterms:W3CDTF">2025-07-25T07:35:00Z</dcterms:modified>
</cp:coreProperties>
</file>